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6A408" w14:textId="3D1E5A25" w:rsidR="002528E7" w:rsidRPr="002528E7" w:rsidRDefault="002528E7" w:rsidP="006C2521">
      <w:pPr>
        <w:rPr>
          <w:rFonts w:asciiTheme="minorHAnsi" w:hAnsiTheme="minorHAnsi"/>
          <w:b/>
          <w:sz w:val="24"/>
          <w:u w:val="single"/>
        </w:rPr>
      </w:pPr>
      <w:r w:rsidRPr="002528E7">
        <w:rPr>
          <w:rFonts w:asciiTheme="minorHAnsi" w:hAnsiTheme="minorHAnsi"/>
          <w:b/>
          <w:sz w:val="24"/>
          <w:u w:val="single"/>
        </w:rPr>
        <w:t>Příloha ZD č. 2</w:t>
      </w:r>
    </w:p>
    <w:p w14:paraId="1CBE65F2" w14:textId="50751389" w:rsidR="006C2521" w:rsidRDefault="006C2521" w:rsidP="006C2521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4x4:</w:t>
      </w:r>
    </w:p>
    <w:p w14:paraId="367B3D4C" w14:textId="27439180" w:rsidR="002528E7" w:rsidRDefault="00B62403" w:rsidP="006C2521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č. </w:t>
      </w:r>
      <w:r w:rsidR="002528E7">
        <w:rPr>
          <w:rFonts w:asciiTheme="minorHAnsi" w:hAnsiTheme="minorHAnsi"/>
          <w:b/>
          <w:sz w:val="24"/>
        </w:rPr>
        <w:t>3, 4, 5, 6, 7, 8</w:t>
      </w:r>
    </w:p>
    <w:p w14:paraId="66319EDC" w14:textId="42EF5C92" w:rsidR="00894C52" w:rsidRPr="00013DEC" w:rsidRDefault="00894C52" w:rsidP="006C2521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podvozky součástí sestavy č. 3, 5, 8 budou přizpůsobeny pro instalaci nástavby vysokozdvižné plošiny – viz specifikace č. </w:t>
      </w:r>
      <w:proofErr w:type="gramStart"/>
      <w:r>
        <w:rPr>
          <w:rFonts w:asciiTheme="minorHAnsi" w:hAnsiTheme="minorHAnsi"/>
          <w:b/>
          <w:sz w:val="24"/>
        </w:rPr>
        <w:t>33 !!!</w:t>
      </w:r>
      <w:proofErr w:type="gramEnd"/>
    </w:p>
    <w:p w14:paraId="4F59AD7C" w14:textId="77777777" w:rsidR="006C2521" w:rsidRPr="00013DEC" w:rsidRDefault="006C2521" w:rsidP="006C2521">
      <w:pPr>
        <w:rPr>
          <w:rFonts w:asciiTheme="minorHAnsi" w:hAnsiTheme="minorHAnsi"/>
          <w:b/>
        </w:rPr>
      </w:pPr>
    </w:p>
    <w:p w14:paraId="3E614D35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4x4 v provedení jako univerzální nosič výměnných nástaveb a přídavných zařízení</w:t>
      </w:r>
    </w:p>
    <w:p w14:paraId="35DBB7F5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celková hmotnost min. 18 t s pohonem 4x4,</w:t>
      </w:r>
    </w:p>
    <w:p w14:paraId="492CF357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pohon přední nápravy odřaditelný. Přiřazení pohonu přední nápravy musí umožňovat za jízdy. </w:t>
      </w:r>
    </w:p>
    <w:p w14:paraId="5C80396E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musí umožňovat uzavření osových diferenciálů (není podmínkou jejích uzavírání pod zatížením)</w:t>
      </w:r>
    </w:p>
    <w:p w14:paraId="3E280F39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nosnost přední nápravy min. 9 000 kg pro provoz se sněhovým pluhem</w:t>
      </w:r>
    </w:p>
    <w:p w14:paraId="21DCC484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odpružená zadní náprava s regulací (vozidlo je neustále vyrovnáváno a je zajištěna stálá symetrie posypu)</w:t>
      </w:r>
    </w:p>
    <w:p w14:paraId="2D6BC862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přední upínací deskou dle DIN 76 060 pro montáž sněhového pluhu případně dalších přídavných zařízení</w:t>
      </w:r>
    </w:p>
    <w:p w14:paraId="1AF31592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systémem pro rychlou výměnu nástaveb</w:t>
      </w:r>
    </w:p>
    <w:p w14:paraId="7A8F3DD4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nosič výměnných nástaveb osazen na rámu podvozku</w:t>
      </w:r>
    </w:p>
    <w:p w14:paraId="6443EC45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aretace, zvedání a spouštění pomocí 4 ks hydraulických pístnic</w:t>
      </w:r>
    </w:p>
    <w:p w14:paraId="1CCBEF75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pomocí dálkového ovládání (možnost i přes kabel)</w:t>
      </w:r>
    </w:p>
    <w:p w14:paraId="56AE0D8E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samočinným závěsem pro přívěs</w:t>
      </w:r>
    </w:p>
    <w:p w14:paraId="6E4AE74F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náhon z vozidla pro hydrauliku musí být nezávislý na řazení (spojce) a vybaven takovým zakončením, aby hydraulické čerpadlo bylo připojeno bez použití kardanu</w:t>
      </w:r>
    </w:p>
    <w:p w14:paraId="4A98C306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sání vzduchu s účinnou ochranou proti vniknutí sněhu při zimní údržbě (např. vytažené za kabinou nahoru)</w:t>
      </w:r>
    </w:p>
    <w:p w14:paraId="617EAACC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zakrytování motoru pro lepší ochranu při zimní údržbě, kryty z boku (v podbězích kol) </w:t>
      </w:r>
    </w:p>
    <w:p w14:paraId="536B4A58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podvozek vybaven parkovací brzdou na všech nápravách vozidla</w:t>
      </w:r>
    </w:p>
    <w:p w14:paraId="561003EF" w14:textId="77777777" w:rsidR="006C2521" w:rsidRPr="00174796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174796">
        <w:rPr>
          <w:rFonts w:asciiTheme="minorHAnsi" w:hAnsiTheme="minorHAnsi"/>
        </w:rPr>
        <w:t>maximální výška vozidla včetně přídavného osvětlení 3 250 mm</w:t>
      </w:r>
    </w:p>
    <w:p w14:paraId="3F73CC3A" w14:textId="77777777" w:rsidR="006C2521" w:rsidRPr="00174796" w:rsidRDefault="006C2521" w:rsidP="006C2521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586EB632" w14:textId="77777777" w:rsidR="006C2521" w:rsidRPr="00174796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174796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2A506FEF" w14:textId="448BA770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174796">
        <w:rPr>
          <w:rFonts w:asciiTheme="minorHAnsi" w:hAnsiTheme="minorHAnsi"/>
          <w:color w:val="000000"/>
        </w:rPr>
        <w:t xml:space="preserve">vznětový s přímým vstřikem paliva splňující limity exhalací min. EURO VI </w:t>
      </w:r>
      <w:r w:rsidRPr="00174796">
        <w:rPr>
          <w:rFonts w:asciiTheme="minorHAnsi" w:hAnsiTheme="minorHAnsi"/>
        </w:rPr>
        <w:t>s výkonem min. 300 kW, kroutící moment min. 2</w:t>
      </w:r>
      <w:r w:rsidR="002750FF" w:rsidRPr="00174796">
        <w:rPr>
          <w:rFonts w:asciiTheme="minorHAnsi" w:hAnsiTheme="minorHAnsi"/>
        </w:rPr>
        <w:t>1</w:t>
      </w:r>
      <w:r w:rsidRPr="00174796">
        <w:rPr>
          <w:rFonts w:asciiTheme="minorHAnsi" w:hAnsiTheme="minorHAnsi"/>
        </w:rPr>
        <w:t xml:space="preserve">00 </w:t>
      </w:r>
      <w:proofErr w:type="spellStart"/>
      <w:r w:rsidRPr="00174796">
        <w:rPr>
          <w:rFonts w:asciiTheme="minorHAnsi" w:hAnsiTheme="minorHAnsi"/>
        </w:rPr>
        <w:t>Nm</w:t>
      </w:r>
      <w:proofErr w:type="spellEnd"/>
    </w:p>
    <w:p w14:paraId="6AE30082" w14:textId="77777777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>automatická převodovka nebo převodovka s automatizovaným řazením</w:t>
      </w:r>
    </w:p>
    <w:p w14:paraId="21976F84" w14:textId="3CA34609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>počet rychlostních stupňů vpřed min</w:t>
      </w:r>
      <w:r w:rsidR="002750FF" w:rsidRPr="00174796">
        <w:rPr>
          <w:rFonts w:asciiTheme="minorHAnsi" w:hAnsiTheme="minorHAnsi"/>
          <w:color w:val="000000"/>
        </w:rPr>
        <w:t>.</w:t>
      </w:r>
      <w:r w:rsidRPr="00174796">
        <w:rPr>
          <w:rFonts w:asciiTheme="minorHAnsi" w:hAnsiTheme="minorHAnsi"/>
          <w:color w:val="000000"/>
        </w:rPr>
        <w:t xml:space="preserve"> 12</w:t>
      </w:r>
    </w:p>
    <w:p w14:paraId="499DF132" w14:textId="77777777" w:rsidR="006C2521" w:rsidRPr="004F0A59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motorová brzda s možností ovládání brzdovým pedálem</w:t>
      </w:r>
    </w:p>
    <w:p w14:paraId="4B3AE7A0" w14:textId="77777777" w:rsidR="006C2521" w:rsidRPr="00013DEC" w:rsidRDefault="006C2521" w:rsidP="006C2521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DD4C483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568391D5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 nástavby pracující za jízdy minimálně čtyři okruhy </w:t>
      </w:r>
    </w:p>
    <w:p w14:paraId="107E73B8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</w:rPr>
        <w:t xml:space="preserve">jeden okruh silový pro pohon nástaveb (cca 25–35 kW při otáčkách motoru 1 000 </w:t>
      </w:r>
      <w:proofErr w:type="spellStart"/>
      <w:r w:rsidRPr="004F0A59">
        <w:rPr>
          <w:rFonts w:asciiTheme="minorHAnsi" w:hAnsiTheme="minorHAnsi"/>
        </w:rPr>
        <w:t>ot</w:t>
      </w:r>
      <w:proofErr w:type="spellEnd"/>
      <w:r w:rsidRPr="004F0A59">
        <w:rPr>
          <w:rFonts w:asciiTheme="minorHAnsi" w:hAnsiTheme="minorHAnsi"/>
        </w:rPr>
        <w:t xml:space="preserve">/min.) s možností průtočného množství oleje </w:t>
      </w:r>
    </w:p>
    <w:p w14:paraId="5E2A1D6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4F0A59">
        <w:rPr>
          <w:rFonts w:asciiTheme="minorHAnsi" w:hAnsiTheme="minorHAnsi"/>
          <w:color w:val="000000"/>
        </w:rPr>
        <w:t>ot</w:t>
      </w:r>
      <w:proofErr w:type="spellEnd"/>
      <w:r w:rsidRPr="004F0A59">
        <w:rPr>
          <w:rFonts w:asciiTheme="minorHAnsi" w:hAnsiTheme="minorHAnsi"/>
          <w:color w:val="000000"/>
        </w:rPr>
        <w:t xml:space="preserve">/min.) + zpětná větev do nádrže, uvedené parametry musí být dosaženy při otáčkách motoru v rozmezí 1 000 – 1 400 </w:t>
      </w:r>
      <w:proofErr w:type="spellStart"/>
      <w:r w:rsidRPr="004F0A59">
        <w:rPr>
          <w:rFonts w:asciiTheme="minorHAnsi" w:hAnsiTheme="minorHAnsi"/>
          <w:color w:val="000000"/>
        </w:rPr>
        <w:t>ot</w:t>
      </w:r>
      <w:proofErr w:type="spellEnd"/>
      <w:r w:rsidRPr="004F0A59">
        <w:rPr>
          <w:rFonts w:asciiTheme="minorHAnsi" w:hAnsiTheme="minorHAnsi"/>
          <w:color w:val="000000"/>
        </w:rPr>
        <w:t xml:space="preserve">/min., </w:t>
      </w:r>
    </w:p>
    <w:p w14:paraId="10B7D8A9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hydraulické obvody musí být (při zachování požadovaných parametrů) kompatibilní se všemi na vozidlo nabízenými nástavbami (sypač, kropice, vysprávkou souprava, fekální nástavba, samosběrný zametač, sklápěcí korba atd.) s vývody (rychlospojkami) u upínací desky (pro ovládání radlice) a za kabinou, resp. na zadní části vozidla (pro pohon nástaveb)</w:t>
      </w:r>
    </w:p>
    <w:p w14:paraId="77FF7AB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 xml:space="preserve">hydraulický okruh manipulační pro obsluhu výměnného systému nástaveb případně nosiče kontejnerů a aktivní kontejnery </w:t>
      </w:r>
    </w:p>
    <w:p w14:paraId="1F14E9C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společná hydraulická nádrž pro všechny hydraulické okruhy vybavená teploměrem, hladinoměrem a indikací minimální hladiny oleje s optickou signalizací v kabině řidiče</w:t>
      </w:r>
    </w:p>
    <w:p w14:paraId="005A0D0E" w14:textId="7777777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19B392AD" w14:textId="7777777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190EC05B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65F62C2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  <w:color w:val="000000"/>
        </w:rPr>
        <w:t xml:space="preserve">vozidlo bude vybaveno schváleným přídavným osvětlením s integrovanými ukazateli směru pro provoz se sněhovou radlicí v pracovní i přepravní poloze umístěným pod </w:t>
      </w:r>
      <w:r w:rsidRPr="004F0A59">
        <w:rPr>
          <w:rFonts w:asciiTheme="minorHAnsi" w:hAnsiTheme="minorHAnsi"/>
        </w:rPr>
        <w:t xml:space="preserve">čelním sklem, které </w:t>
      </w:r>
      <w:proofErr w:type="gramStart"/>
      <w:r w:rsidRPr="004F0A59">
        <w:rPr>
          <w:rFonts w:asciiTheme="minorHAnsi" w:hAnsiTheme="minorHAnsi"/>
        </w:rPr>
        <w:t>vyloučí</w:t>
      </w:r>
      <w:proofErr w:type="gramEnd"/>
      <w:r w:rsidRPr="004F0A59">
        <w:rPr>
          <w:rFonts w:asciiTheme="minorHAnsi" w:hAnsiTheme="minorHAnsi"/>
        </w:rPr>
        <w:t xml:space="preserve"> současný provoz základního a přídavného osvětlení</w:t>
      </w:r>
    </w:p>
    <w:p w14:paraId="30095A1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71D25363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vozidlo bude dále vybaveno dvojicí přídavných dálkových světel umístěných na střeše vozidla</w:t>
      </w:r>
    </w:p>
    <w:p w14:paraId="2CD5E2C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integrované LED světlomety pro denní svícení</w:t>
      </w:r>
    </w:p>
    <w:p w14:paraId="246A59E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boční poziční osvětlení v provedení LED</w:t>
      </w:r>
    </w:p>
    <w:p w14:paraId="1F0758F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6A0A5E5F" w14:textId="77777777" w:rsidR="00174796" w:rsidRPr="00174796" w:rsidRDefault="00174796" w:rsidP="0017479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1 000 mm, výška max. 100 mm). Zadavatelem doporučený typ zvláštního výstražného zařízení oranžové barvy – VNT 024LU </w:t>
      </w:r>
      <w:proofErr w:type="spellStart"/>
      <w:r w:rsidRPr="00174796">
        <w:rPr>
          <w:rFonts w:asciiTheme="minorHAnsi" w:hAnsiTheme="minorHAnsi"/>
          <w:color w:val="000000"/>
        </w:rPr>
        <w:t>AaaA</w:t>
      </w:r>
      <w:proofErr w:type="spellEnd"/>
      <w:r w:rsidRPr="00174796">
        <w:rPr>
          <w:rFonts w:asciiTheme="minorHAnsi" w:hAnsiTheme="minorHAnsi"/>
          <w:color w:val="000000"/>
        </w:rPr>
        <w:t xml:space="preserve"> 1060/1092. </w:t>
      </w:r>
    </w:p>
    <w:p w14:paraId="2AD3651D" w14:textId="77777777" w:rsidR="00174796" w:rsidRPr="00174796" w:rsidRDefault="00174796" w:rsidP="0017479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 xml:space="preserve">pod čelním sklem umístěna dvojice LED výstražných světel oranžové barvy (min. 10 LED diod v každém světle – min. rozměry svítidel (š x v x h) mm: 130 x 45 x 15). Zadavatelem doporučený typ LED výstražných světel oranžové barvy-LED A </w:t>
      </w:r>
      <w:proofErr w:type="gramStart"/>
      <w:r w:rsidRPr="00174796">
        <w:rPr>
          <w:rFonts w:asciiTheme="minorHAnsi" w:hAnsiTheme="minorHAnsi"/>
          <w:color w:val="000000"/>
        </w:rPr>
        <w:t>59-Bolt2</w:t>
      </w:r>
      <w:proofErr w:type="gramEnd"/>
      <w:r w:rsidRPr="00174796">
        <w:rPr>
          <w:rFonts w:asciiTheme="minorHAnsi" w:hAnsiTheme="minorHAnsi"/>
          <w:color w:val="000000"/>
        </w:rPr>
        <w:t>-SMR65.</w:t>
      </w:r>
    </w:p>
    <w:p w14:paraId="7DA1C21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41A0BE0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4EA8121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20CB4251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30BBF338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vytápění kabiny vozidla nezávisle na chodu motoru</w:t>
      </w:r>
    </w:p>
    <w:p w14:paraId="356E845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klimatizační jednotka</w:t>
      </w:r>
    </w:p>
    <w:p w14:paraId="6BD88F2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6DF944F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+ 2) včetně zápisu do technického průkazu vozidla, </w:t>
      </w:r>
      <w:r w:rsidRPr="004F0A59">
        <w:rPr>
          <w:rFonts w:asciiTheme="minorHAnsi" w:hAnsiTheme="minorHAnsi"/>
          <w:b/>
          <w:bCs/>
          <w:color w:val="000000"/>
        </w:rPr>
        <w:t xml:space="preserve">mimo vozidla, která mají osazenu nástavbu samosběrného zametače. U těchto vozidel bude provedení kabiny řešeno 1+1. </w:t>
      </w:r>
    </w:p>
    <w:p w14:paraId="0ED81B71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sedačka řidiče vzduchově odpružená a el. vyhřívaná</w:t>
      </w:r>
    </w:p>
    <w:p w14:paraId="5623A912" w14:textId="44C8B846" w:rsidR="006C2521" w:rsidRPr="00174796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174796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174796">
        <w:rPr>
          <w:rFonts w:asciiTheme="minorHAnsi" w:hAnsiTheme="minorHAnsi"/>
          <w:color w:val="000000"/>
          <w:sz w:val="24"/>
          <w:szCs w:val="24"/>
        </w:rPr>
        <w:t xml:space="preserve"> + instalace zařízení pro automatické vyčítání digitálního tachografu do systému zadavatele (dodavatele sdělí zadavatel)</w:t>
      </w:r>
    </w:p>
    <w:p w14:paraId="33989933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003A0270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4C7C2C0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52B2AC6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2B8C4D00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sklopný volant</w:t>
      </w:r>
    </w:p>
    <w:p w14:paraId="4072B637" w14:textId="01BBBFED" w:rsidR="006C2521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alternátor min. 100 A</w:t>
      </w:r>
    </w:p>
    <w:p w14:paraId="1ABE867F" w14:textId="2DFFE2BC" w:rsidR="00750CAB" w:rsidRPr="00750CAB" w:rsidRDefault="00750CAB" w:rsidP="00750CA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lastRenderedPageBreak/>
        <w:t>podvozek vybaven zimními pneumatikami (</w:t>
      </w:r>
      <w:proofErr w:type="gramStart"/>
      <w:r>
        <w:rPr>
          <w:rFonts w:asciiTheme="minorHAnsi" w:hAnsiTheme="minorHAnsi"/>
          <w:color w:val="000000"/>
        </w:rPr>
        <w:t>doporučen - Continental</w:t>
      </w:r>
      <w:proofErr w:type="gramEnd"/>
      <w:r>
        <w:rPr>
          <w:rFonts w:asciiTheme="minorHAnsi" w:hAnsiTheme="minorHAnsi"/>
          <w:color w:val="000000"/>
        </w:rPr>
        <w:t xml:space="preserve"> </w:t>
      </w:r>
      <w:proofErr w:type="spellStart"/>
      <w:r>
        <w:rPr>
          <w:rFonts w:asciiTheme="minorHAnsi" w:hAnsiTheme="minorHAnsi"/>
          <w:color w:val="000000"/>
        </w:rPr>
        <w:t>Scandinavia</w:t>
      </w:r>
      <w:proofErr w:type="spellEnd"/>
      <w:r w:rsidRPr="00750CAB">
        <w:rPr>
          <w:rFonts w:asciiTheme="minorHAnsi" w:hAnsiTheme="minorHAnsi"/>
          <w:color w:val="000000"/>
        </w:rPr>
        <w:t xml:space="preserve"> HD2/HS3 – vzorek do těžkých zimních podmínek)</w:t>
      </w:r>
    </w:p>
    <w:p w14:paraId="0BC5452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 kabině vozidla umístěny držáky ovládacích panelů sypačové nástavby, sněhové radlice a světelné šipky, aby tyto bylo možno snadno a bezpečně ovládat z pracovního místa řidiče</w:t>
      </w:r>
    </w:p>
    <w:p w14:paraId="29FBD073" w14:textId="6B88DB18" w:rsidR="006C2521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homologováno jako nosič výměnných nástaveb, o čemž bude proveden zápis do TP vozidla</w:t>
      </w:r>
    </w:p>
    <w:p w14:paraId="7C4A1F73" w14:textId="543E3E0A" w:rsidR="00B35B7C" w:rsidRPr="00B35B7C" w:rsidRDefault="00B35B7C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bookmarkStart w:id="0" w:name="_Hlk131330821"/>
      <w:r w:rsidRPr="00B35B7C">
        <w:rPr>
          <w:rFonts w:asciiTheme="minorHAnsi" w:hAnsiTheme="minorHAnsi"/>
          <w:b/>
          <w:bCs/>
          <w:color w:val="000000"/>
        </w:rPr>
        <w:t>automobilový podvozek včetně nosiče výměnných nástaveb řešen tak, aby na něj bylo možné osadit stávající nástavby pro nosič výměnných nástaveb, které zadavatel využívá od roku 2021</w:t>
      </w:r>
      <w:r>
        <w:rPr>
          <w:rFonts w:asciiTheme="minorHAnsi" w:hAnsiTheme="minorHAnsi"/>
          <w:b/>
          <w:bCs/>
          <w:color w:val="000000"/>
        </w:rPr>
        <w:t xml:space="preserve"> (vzájemná kompatibilita osazení na podvozek)</w:t>
      </w:r>
    </w:p>
    <w:bookmarkEnd w:id="0"/>
    <w:p w14:paraId="3C78A458" w14:textId="63523D4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6505C38D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7B459244" w14:textId="77777777" w:rsidR="006C2521" w:rsidRDefault="006C2521" w:rsidP="006C2521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370933CA" w14:textId="77777777" w:rsidR="006C2521" w:rsidRPr="00080CAC" w:rsidRDefault="006C2521" w:rsidP="006C2521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7714943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B87C96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další možnosti doplňkové výbavy mimo zadavatelem požadované včetně ceny za jednotlivé doplňky</w:t>
      </w:r>
    </w:p>
    <w:p w14:paraId="5346DF05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60E691D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0876BD5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4E4A0486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zadavatel požaduje poskytnout minimálně 24měsíční záruční lhůtu na dodané zboží. Vztahuje se jak na automobilový podvozek, tak na jednotlivé nástavby</w:t>
      </w:r>
    </w:p>
    <w:p w14:paraId="089C6DB0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 xml:space="preserve">v kabině vozidla umístěn monitor min. 7“ s možností zobrazení min. 2 kamer (jedna kamera na vozidla a druhá kamera na nástavbách) umístnění monitoru v kabině vozidla bude před montáží odsouhlaseno s objednatelem. </w:t>
      </w:r>
      <w:r w:rsidRPr="004F0A59">
        <w:rPr>
          <w:rFonts w:asciiTheme="minorHAnsi" w:hAnsiTheme="minorHAnsi"/>
          <w:b/>
          <w:bCs/>
        </w:rPr>
        <w:t>V případě některých nástaveb je požadován větší počet kamer, nutné přizpůsobit monitor v kabině.</w:t>
      </w:r>
    </w:p>
    <w:p w14:paraId="7428A6B7" w14:textId="77777777" w:rsidR="006C2521" w:rsidRPr="00AA0D60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</w:t>
      </w:r>
      <w:r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53E6A1A6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51D43AF7" w14:textId="77777777" w:rsidR="006C2521" w:rsidRPr="00FD0A41" w:rsidRDefault="006C2521" w:rsidP="006C2521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55E6F184" wp14:editId="17CC425A">
            <wp:extent cx="5135719" cy="1208405"/>
            <wp:effectExtent l="0" t="0" r="825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DB5677" w14:textId="77777777" w:rsidR="00750CAB" w:rsidRPr="00D944AA" w:rsidRDefault="00750CAB" w:rsidP="00750CA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74B6B5A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num w:numId="1" w16cid:durableId="303698415">
    <w:abstractNumId w:val="2"/>
  </w:num>
  <w:num w:numId="2" w16cid:durableId="1138113973">
    <w:abstractNumId w:val="1"/>
  </w:num>
  <w:num w:numId="3" w16cid:durableId="16544870">
    <w:abstractNumId w:val="0"/>
  </w:num>
  <w:num w:numId="4" w16cid:durableId="91435330">
    <w:abstractNumId w:val="0"/>
  </w:num>
  <w:num w:numId="5" w16cid:durableId="141185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21"/>
    <w:rsid w:val="00174796"/>
    <w:rsid w:val="00205214"/>
    <w:rsid w:val="002528E7"/>
    <w:rsid w:val="002750FF"/>
    <w:rsid w:val="006C2521"/>
    <w:rsid w:val="00750CAB"/>
    <w:rsid w:val="00894C52"/>
    <w:rsid w:val="00B35B7C"/>
    <w:rsid w:val="00B62403"/>
    <w:rsid w:val="00C8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612"/>
  <w15:chartTrackingRefBased/>
  <w15:docId w15:val="{121C78BD-0C4F-4C07-AE44-A992D445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5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1157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9</cp:revision>
  <dcterms:created xsi:type="dcterms:W3CDTF">2023-02-21T21:14:00Z</dcterms:created>
  <dcterms:modified xsi:type="dcterms:W3CDTF">2023-04-02T12:42:00Z</dcterms:modified>
</cp:coreProperties>
</file>